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768B9" w14:textId="77777777" w:rsidR="00BE5D74" w:rsidRPr="00957F24" w:rsidRDefault="005C5332" w:rsidP="00957F24">
      <w:pPr>
        <w:spacing w:before="0"/>
        <w:ind w:right="282"/>
        <w:jc w:val="center"/>
        <w:rPr>
          <w:rFonts w:asciiTheme="majorHAnsi" w:hAnsiTheme="majorHAnsi"/>
          <w:b/>
          <w:sz w:val="28"/>
          <w:szCs w:val="28"/>
        </w:rPr>
      </w:pPr>
      <w:r w:rsidRPr="00957F24">
        <w:rPr>
          <w:rFonts w:asciiTheme="majorHAnsi" w:hAnsiTheme="majorHAnsi"/>
          <w:b/>
          <w:sz w:val="28"/>
          <w:szCs w:val="28"/>
        </w:rPr>
        <w:t>Quadro di riferimento per la redazione e lo svolgimento</w:t>
      </w:r>
    </w:p>
    <w:p w14:paraId="10993B5B" w14:textId="77777777" w:rsidR="00BE5D74" w:rsidRPr="00957F24" w:rsidRDefault="005C5332" w:rsidP="00957F24">
      <w:pPr>
        <w:spacing w:before="0"/>
        <w:ind w:right="282"/>
        <w:jc w:val="center"/>
        <w:rPr>
          <w:rFonts w:asciiTheme="majorHAnsi" w:hAnsiTheme="majorHAnsi"/>
          <w:b/>
          <w:sz w:val="28"/>
          <w:szCs w:val="28"/>
        </w:rPr>
      </w:pPr>
      <w:r w:rsidRPr="00957F24">
        <w:rPr>
          <w:rFonts w:asciiTheme="majorHAnsi" w:hAnsiTheme="majorHAnsi"/>
          <w:b/>
          <w:sz w:val="28"/>
          <w:szCs w:val="28"/>
        </w:rPr>
        <w:t>della seconda prova scritta dell’esame di Stato</w:t>
      </w:r>
    </w:p>
    <w:p w14:paraId="6186C3BC" w14:textId="77777777" w:rsidR="00BE5D74" w:rsidRPr="00957F24" w:rsidRDefault="00BE5D74" w:rsidP="00957F24">
      <w:pPr>
        <w:spacing w:before="0"/>
        <w:ind w:right="282"/>
        <w:jc w:val="center"/>
        <w:rPr>
          <w:rFonts w:asciiTheme="majorHAnsi" w:hAnsiTheme="majorHAnsi"/>
          <w:b/>
          <w:sz w:val="28"/>
          <w:szCs w:val="28"/>
        </w:rPr>
      </w:pPr>
    </w:p>
    <w:tbl>
      <w:tblPr>
        <w:tblStyle w:val="Grigliatabella"/>
        <w:tblW w:w="8642" w:type="dxa"/>
        <w:tblInd w:w="567" w:type="dxa"/>
        <w:tblLook w:val="04A0" w:firstRow="1" w:lastRow="0" w:firstColumn="1" w:lastColumn="0" w:noHBand="0" w:noVBand="1"/>
      </w:tblPr>
      <w:tblGrid>
        <w:gridCol w:w="8642"/>
      </w:tblGrid>
      <w:tr w:rsidR="00BE5D74" w:rsidRPr="00957F24" w14:paraId="276181B1" w14:textId="77777777" w:rsidTr="005C5332">
        <w:tc>
          <w:tcPr>
            <w:tcW w:w="8642" w:type="dxa"/>
          </w:tcPr>
          <w:p w14:paraId="0A0FED8C" w14:textId="77777777" w:rsidR="00BE5D74" w:rsidRPr="00957F24" w:rsidRDefault="005C5332">
            <w:pPr>
              <w:spacing w:before="0"/>
              <w:jc w:val="center"/>
              <w:rPr>
                <w:rFonts w:asciiTheme="majorHAnsi" w:eastAsia="Calibri" w:hAnsiTheme="majorHAnsi" w:cs="Calibri"/>
                <w:b/>
                <w:bCs/>
                <w:sz w:val="24"/>
                <w:szCs w:val="24"/>
                <w:lang w:eastAsia="it-IT"/>
              </w:rPr>
            </w:pPr>
            <w:r w:rsidRPr="00957F24">
              <w:rPr>
                <w:rFonts w:asciiTheme="majorHAnsi" w:eastAsia="Calibri" w:hAnsiTheme="majorHAnsi" w:cs="Calibri"/>
                <w:b/>
                <w:bCs/>
                <w:sz w:val="24"/>
                <w:szCs w:val="24"/>
                <w:lang w:eastAsia="it-IT"/>
              </w:rPr>
              <w:t xml:space="preserve">ISTITUTO PROFESSIONALE </w:t>
            </w:r>
          </w:p>
          <w:p w14:paraId="2018DD11" w14:textId="24DF3D2D" w:rsidR="00BE5D74" w:rsidRPr="00957F24" w:rsidRDefault="005C5332">
            <w:pPr>
              <w:spacing w:before="0"/>
              <w:jc w:val="center"/>
              <w:rPr>
                <w:rFonts w:asciiTheme="majorHAnsi" w:hAnsiTheme="majorHAnsi"/>
                <w:b/>
                <w:i/>
                <w:sz w:val="24"/>
                <w:szCs w:val="24"/>
              </w:rPr>
            </w:pPr>
            <w:r w:rsidRPr="00957F24">
              <w:rPr>
                <w:rFonts w:asciiTheme="majorHAnsi" w:hAnsiTheme="majorHAnsi"/>
                <w:b/>
                <w:i/>
                <w:sz w:val="24"/>
                <w:szCs w:val="24"/>
              </w:rPr>
              <w:t xml:space="preserve">Indirizzo: </w:t>
            </w:r>
            <w:r w:rsidR="00957F24" w:rsidRPr="00957F24">
              <w:rPr>
                <w:rFonts w:asciiTheme="majorHAnsi" w:hAnsiTheme="majorHAnsi"/>
                <w:b/>
                <w:i/>
                <w:sz w:val="24"/>
                <w:szCs w:val="24"/>
              </w:rPr>
              <w:t>Arti ausiliarie delle professioni sanitarie - Ottico</w:t>
            </w:r>
          </w:p>
          <w:p w14:paraId="74E59A68" w14:textId="77777777" w:rsidR="00BE5D74" w:rsidRPr="00957F24" w:rsidRDefault="00BE5D74">
            <w:pPr>
              <w:spacing w:before="0"/>
              <w:ind w:left="0"/>
              <w:rPr>
                <w:rFonts w:asciiTheme="majorHAnsi" w:hAnsiTheme="majorHAnsi"/>
                <w:b/>
              </w:rPr>
            </w:pPr>
          </w:p>
        </w:tc>
      </w:tr>
    </w:tbl>
    <w:p w14:paraId="62B92B28" w14:textId="77777777" w:rsidR="00BE5D74" w:rsidRPr="00957F24" w:rsidRDefault="00BE5D74" w:rsidP="00957F24">
      <w:pPr>
        <w:spacing w:before="0"/>
        <w:jc w:val="center"/>
        <w:rPr>
          <w:rFonts w:asciiTheme="majorHAnsi" w:hAnsiTheme="majorHAnsi"/>
          <w:b/>
        </w:rPr>
      </w:pPr>
    </w:p>
    <w:p w14:paraId="74B97EC9" w14:textId="77777777" w:rsidR="00BE5D74" w:rsidRPr="00957F24" w:rsidRDefault="005C5332" w:rsidP="00957F24">
      <w:pPr>
        <w:spacing w:before="0"/>
        <w:jc w:val="center"/>
        <w:rPr>
          <w:rFonts w:asciiTheme="majorHAnsi" w:hAnsiTheme="majorHAnsi"/>
          <w:b/>
          <w:sz w:val="24"/>
          <w:szCs w:val="24"/>
        </w:rPr>
      </w:pPr>
      <w:r w:rsidRPr="00957F24">
        <w:rPr>
          <w:rFonts w:asciiTheme="majorHAnsi" w:hAnsiTheme="majorHAnsi"/>
          <w:b/>
          <w:sz w:val="24"/>
          <w:szCs w:val="24"/>
        </w:rPr>
        <w:t>Caratteristiche della prova d’esame</w:t>
      </w:r>
    </w:p>
    <w:p w14:paraId="0B41DC62" w14:textId="77777777" w:rsidR="00BE5D74" w:rsidRPr="00957F24" w:rsidRDefault="00BE5D74" w:rsidP="00957F24">
      <w:pPr>
        <w:spacing w:before="0"/>
        <w:ind w:right="140"/>
        <w:rPr>
          <w:rFonts w:asciiTheme="majorHAnsi" w:hAnsiTheme="majorHAnsi"/>
          <w:sz w:val="24"/>
          <w:szCs w:val="24"/>
        </w:rPr>
      </w:pPr>
    </w:p>
    <w:p w14:paraId="78B05CB6" w14:textId="6CFFF801" w:rsidR="00BE5D74" w:rsidRPr="00957F24" w:rsidRDefault="005C5332" w:rsidP="008D49E6">
      <w:pPr>
        <w:spacing w:before="0"/>
        <w:ind w:right="424"/>
        <w:rPr>
          <w:rFonts w:asciiTheme="majorHAnsi" w:hAnsiTheme="majorHAnsi"/>
          <w:sz w:val="24"/>
          <w:szCs w:val="24"/>
        </w:rPr>
      </w:pPr>
      <w:bookmarkStart w:id="0" w:name="docs-internal-guid-a78653f1-7fff-c7b4-79"/>
      <w:bookmarkEnd w:id="0"/>
      <w:r w:rsidRPr="00957F24">
        <w:rPr>
          <w:rFonts w:asciiTheme="majorHAnsi" w:hAnsiTheme="majorHAnsi"/>
          <w:color w:val="000000"/>
          <w:sz w:val="24"/>
          <w:szCs w:val="24"/>
        </w:rPr>
        <w:t>La prova richiede al candidato, da un lato, capacità di analisi, di scelta e di soluzione; dall’altro, il conseguimento di competenze professionali con particolare attenzione ai nuclei tematici fondamentali.</w:t>
      </w:r>
    </w:p>
    <w:p w14:paraId="20E1AC67" w14:textId="77777777" w:rsidR="00BE5D74" w:rsidRPr="00957F24" w:rsidRDefault="00BE5D74" w:rsidP="008D49E6">
      <w:pPr>
        <w:spacing w:before="0"/>
        <w:ind w:right="424"/>
        <w:rPr>
          <w:rFonts w:asciiTheme="majorHAnsi" w:hAnsiTheme="majorHAnsi"/>
          <w:sz w:val="24"/>
          <w:szCs w:val="24"/>
        </w:rPr>
      </w:pPr>
    </w:p>
    <w:p w14:paraId="0C9FAFAE" w14:textId="0D8E2A6E" w:rsidR="00BE5D74" w:rsidRDefault="005C5332" w:rsidP="008D49E6">
      <w:pPr>
        <w:spacing w:before="0"/>
        <w:ind w:right="424"/>
        <w:rPr>
          <w:rFonts w:asciiTheme="majorHAnsi" w:hAnsiTheme="majorHAnsi"/>
          <w:iCs/>
          <w:sz w:val="24"/>
          <w:szCs w:val="24"/>
        </w:rPr>
      </w:pPr>
      <w:r w:rsidRPr="00957F24">
        <w:rPr>
          <w:rFonts w:asciiTheme="majorHAnsi" w:hAnsiTheme="majorHAnsi"/>
          <w:iCs/>
          <w:sz w:val="24"/>
          <w:szCs w:val="24"/>
        </w:rPr>
        <w:t>La prova viene predisposta secondo una delle seguenti tipologie:</w:t>
      </w:r>
    </w:p>
    <w:p w14:paraId="21FE7E2E" w14:textId="77777777" w:rsidR="00957F24" w:rsidRPr="00957F24" w:rsidRDefault="00957F24" w:rsidP="008D49E6">
      <w:pPr>
        <w:spacing w:before="0"/>
        <w:ind w:right="424"/>
        <w:rPr>
          <w:rFonts w:asciiTheme="majorHAnsi" w:hAnsiTheme="majorHAnsi"/>
          <w:iCs/>
          <w:sz w:val="24"/>
          <w:szCs w:val="24"/>
        </w:rPr>
      </w:pPr>
    </w:p>
    <w:p w14:paraId="65236BE4" w14:textId="77777777" w:rsidR="00BE5D74" w:rsidRPr="00957F24" w:rsidRDefault="005C5332" w:rsidP="008D49E6">
      <w:pPr>
        <w:spacing w:before="0"/>
        <w:ind w:right="424"/>
        <w:rPr>
          <w:rFonts w:asciiTheme="majorHAnsi" w:hAnsiTheme="majorHAnsi"/>
          <w:iCs/>
          <w:sz w:val="24"/>
          <w:szCs w:val="24"/>
        </w:rPr>
      </w:pPr>
      <w:r w:rsidRPr="00957F24">
        <w:rPr>
          <w:rFonts w:asciiTheme="majorHAnsi" w:hAnsiTheme="majorHAnsi"/>
          <w:iCs/>
          <w:sz w:val="24"/>
          <w:szCs w:val="24"/>
        </w:rPr>
        <w:t>TIPOLOGIA A</w:t>
      </w:r>
    </w:p>
    <w:p w14:paraId="1AEF0730" w14:textId="77777777" w:rsidR="00BE5D74" w:rsidRPr="00957F24" w:rsidRDefault="005C5332" w:rsidP="008D49E6">
      <w:pPr>
        <w:spacing w:before="0"/>
        <w:ind w:right="424"/>
        <w:rPr>
          <w:rFonts w:asciiTheme="majorHAnsi" w:hAnsiTheme="majorHAnsi"/>
          <w:iCs/>
          <w:sz w:val="24"/>
          <w:szCs w:val="24"/>
        </w:rPr>
      </w:pPr>
      <w:r w:rsidRPr="00957F24">
        <w:rPr>
          <w:rFonts w:asciiTheme="majorHAnsi" w:hAnsiTheme="majorHAnsi"/>
          <w:iCs/>
          <w:sz w:val="24"/>
          <w:szCs w:val="24"/>
        </w:rPr>
        <w:t>Analisi ed elaborazione di un report relativo al percorso professionale sulla base di documenti, tabelle e dati.</w:t>
      </w:r>
    </w:p>
    <w:p w14:paraId="5EF36B7E" w14:textId="77777777" w:rsidR="00BE5D74" w:rsidRPr="00957F24" w:rsidRDefault="005C5332" w:rsidP="008D49E6">
      <w:pPr>
        <w:spacing w:before="0"/>
        <w:ind w:right="424"/>
        <w:rPr>
          <w:rFonts w:asciiTheme="majorHAnsi" w:hAnsiTheme="majorHAnsi"/>
          <w:iCs/>
          <w:sz w:val="24"/>
          <w:szCs w:val="24"/>
        </w:rPr>
      </w:pPr>
      <w:r w:rsidRPr="00957F24">
        <w:rPr>
          <w:rFonts w:asciiTheme="majorHAnsi" w:hAnsiTheme="majorHAnsi"/>
          <w:iCs/>
          <w:sz w:val="24"/>
          <w:szCs w:val="24"/>
        </w:rPr>
        <w:t>TIPOLOGIA B</w:t>
      </w:r>
    </w:p>
    <w:p w14:paraId="3B6F9D4F" w14:textId="10ABF6D6" w:rsidR="00BE5D74" w:rsidRPr="00957F24" w:rsidRDefault="005C5332" w:rsidP="008D49E6">
      <w:pPr>
        <w:spacing w:before="0"/>
        <w:ind w:right="424"/>
        <w:rPr>
          <w:rFonts w:asciiTheme="majorHAnsi" w:hAnsiTheme="majorHAnsi"/>
          <w:iCs/>
          <w:sz w:val="24"/>
          <w:szCs w:val="24"/>
        </w:rPr>
      </w:pPr>
      <w:r w:rsidRPr="00957F24">
        <w:rPr>
          <w:rFonts w:asciiTheme="majorHAnsi" w:hAnsiTheme="majorHAnsi"/>
          <w:iCs/>
          <w:sz w:val="24"/>
          <w:szCs w:val="24"/>
        </w:rPr>
        <w:t>Analisi e soluzione di problematiche in un contesto operativo riguardante l’area professionale</w:t>
      </w:r>
      <w:r w:rsidR="00E00F84">
        <w:rPr>
          <w:rFonts w:asciiTheme="majorHAnsi" w:hAnsiTheme="majorHAnsi"/>
          <w:iCs/>
          <w:sz w:val="24"/>
          <w:szCs w:val="24"/>
        </w:rPr>
        <w:t xml:space="preserve"> (caso professionale)</w:t>
      </w:r>
      <w:r w:rsidRPr="00957F24">
        <w:rPr>
          <w:rFonts w:asciiTheme="majorHAnsi" w:hAnsiTheme="majorHAnsi"/>
          <w:iCs/>
          <w:sz w:val="24"/>
          <w:szCs w:val="24"/>
        </w:rPr>
        <w:t>.</w:t>
      </w:r>
    </w:p>
    <w:p w14:paraId="43F2C60D" w14:textId="77777777" w:rsidR="00BE5D74" w:rsidRPr="00957F24" w:rsidRDefault="005C5332" w:rsidP="008D49E6">
      <w:pPr>
        <w:spacing w:before="0"/>
        <w:ind w:right="424"/>
        <w:rPr>
          <w:rFonts w:asciiTheme="majorHAnsi" w:hAnsiTheme="majorHAnsi"/>
          <w:iCs/>
          <w:sz w:val="24"/>
          <w:szCs w:val="24"/>
        </w:rPr>
      </w:pPr>
      <w:r w:rsidRPr="00957F24">
        <w:rPr>
          <w:rFonts w:asciiTheme="majorHAnsi" w:hAnsiTheme="majorHAnsi"/>
          <w:iCs/>
          <w:sz w:val="24"/>
          <w:szCs w:val="24"/>
        </w:rPr>
        <w:t>TIPOLOGIA C</w:t>
      </w:r>
    </w:p>
    <w:p w14:paraId="53A4BF35" w14:textId="77777777" w:rsidR="00BE5D74" w:rsidRPr="00957F24" w:rsidRDefault="005C5332" w:rsidP="008D49E6">
      <w:pPr>
        <w:spacing w:before="0"/>
        <w:ind w:right="424"/>
        <w:rPr>
          <w:rFonts w:asciiTheme="majorHAnsi" w:hAnsiTheme="majorHAnsi"/>
          <w:iCs/>
          <w:sz w:val="24"/>
          <w:szCs w:val="24"/>
        </w:rPr>
      </w:pPr>
      <w:r w:rsidRPr="00957F24">
        <w:rPr>
          <w:rFonts w:asciiTheme="majorHAnsi" w:hAnsiTheme="majorHAnsi"/>
          <w:iCs/>
          <w:sz w:val="24"/>
          <w:szCs w:val="24"/>
        </w:rPr>
        <w:t>Individuazione e predisposizione delle fasi per la realizzazione di un prodotto o di un servizio.</w:t>
      </w:r>
    </w:p>
    <w:p w14:paraId="72482FF7" w14:textId="77777777" w:rsidR="00BE5D74" w:rsidRPr="00957F24" w:rsidRDefault="005C5332" w:rsidP="008D49E6">
      <w:pPr>
        <w:spacing w:before="0"/>
        <w:ind w:right="424"/>
        <w:rPr>
          <w:rFonts w:asciiTheme="majorHAnsi" w:hAnsiTheme="majorHAnsi"/>
          <w:iCs/>
          <w:sz w:val="24"/>
          <w:szCs w:val="24"/>
        </w:rPr>
      </w:pPr>
      <w:r w:rsidRPr="00957F24">
        <w:rPr>
          <w:rFonts w:asciiTheme="majorHAnsi" w:hAnsiTheme="majorHAnsi"/>
          <w:iCs/>
          <w:sz w:val="24"/>
          <w:szCs w:val="24"/>
        </w:rPr>
        <w:t>TIPOLOGIA D</w:t>
      </w:r>
    </w:p>
    <w:p w14:paraId="5664FD28" w14:textId="77777777" w:rsidR="00BE5D74" w:rsidRPr="00957F24" w:rsidRDefault="005C5332" w:rsidP="008D49E6">
      <w:pPr>
        <w:spacing w:before="0"/>
        <w:ind w:right="424"/>
        <w:rPr>
          <w:rFonts w:asciiTheme="majorHAnsi" w:hAnsiTheme="majorHAnsi"/>
          <w:iCs/>
          <w:sz w:val="24"/>
          <w:szCs w:val="24"/>
        </w:rPr>
      </w:pPr>
      <w:r w:rsidRPr="00957F24">
        <w:rPr>
          <w:rFonts w:asciiTheme="majorHAnsi" w:hAnsiTheme="majorHAnsi"/>
          <w:iCs/>
          <w:sz w:val="24"/>
          <w:szCs w:val="24"/>
        </w:rPr>
        <w:t>Elaborazione di un progetto finalizzato all’innovazione della produzione e/o alla promozione del settore professionale.</w:t>
      </w:r>
    </w:p>
    <w:p w14:paraId="7B50CD0E" w14:textId="77777777" w:rsidR="00BE5D74" w:rsidRPr="00957F24" w:rsidRDefault="00BE5D74" w:rsidP="008D49E6">
      <w:pPr>
        <w:spacing w:before="0"/>
        <w:ind w:right="424"/>
        <w:rPr>
          <w:rFonts w:asciiTheme="majorHAnsi" w:hAnsiTheme="majorHAnsi"/>
          <w:iCs/>
          <w:sz w:val="24"/>
          <w:szCs w:val="24"/>
        </w:rPr>
      </w:pPr>
    </w:p>
    <w:p w14:paraId="65D79702" w14:textId="77777777" w:rsidR="00BE5D74" w:rsidRPr="00957F24" w:rsidRDefault="005C5332" w:rsidP="008D49E6">
      <w:pPr>
        <w:spacing w:before="0"/>
        <w:ind w:right="424"/>
        <w:rPr>
          <w:rFonts w:asciiTheme="majorHAnsi" w:hAnsiTheme="majorHAnsi"/>
          <w:iCs/>
          <w:sz w:val="24"/>
          <w:szCs w:val="24"/>
        </w:rPr>
      </w:pPr>
      <w:r w:rsidRPr="00957F24">
        <w:rPr>
          <w:rFonts w:asciiTheme="majorHAnsi" w:hAnsiTheme="majorHAnsi"/>
          <w:iCs/>
          <w:sz w:val="24"/>
          <w:szCs w:val="24"/>
        </w:rPr>
        <w:t>La traccia sarà predisposta, nella modalità di seguito specificata, in modo da proporre temi, situazioni problematiche, progetti ecc. che consentano, in modo integrato, di accertare le conoscenze, le abilità e le competenze attese in esito all’indirizzo e quelle caratterizzanti lo specifico percorso.</w:t>
      </w:r>
    </w:p>
    <w:p w14:paraId="1AC90A8F" w14:textId="77777777" w:rsidR="00BE5D74" w:rsidRPr="00957F24" w:rsidRDefault="005C5332" w:rsidP="008D49E6">
      <w:pPr>
        <w:spacing w:before="0"/>
        <w:ind w:right="424"/>
        <w:rPr>
          <w:rFonts w:asciiTheme="majorHAnsi" w:hAnsiTheme="majorHAnsi"/>
          <w:sz w:val="24"/>
          <w:szCs w:val="24"/>
        </w:rPr>
      </w:pPr>
      <w:r w:rsidRPr="00957F24">
        <w:rPr>
          <w:rFonts w:asciiTheme="majorHAnsi" w:hAnsiTheme="majorHAnsi"/>
          <w:iCs/>
          <w:sz w:val="24"/>
          <w:szCs w:val="24"/>
        </w:rPr>
        <w:t xml:space="preserve">La parte nazionale della prova indicherà la tipologia e il/i nucleo/i tematico/i fondamentale/i d’indirizzo cui la prova dovrà fare riferimento; la commissione declinerà le indicazioni ministeriali in relazione allo specifico percorso formativo attivato dall’istituzione scolastica, con riguardo al codice ATECO di riferimento, </w:t>
      </w:r>
      <w:r w:rsidRPr="00957F24">
        <w:rPr>
          <w:rFonts w:asciiTheme="majorHAnsi" w:hAnsiTheme="majorHAnsi"/>
          <w:sz w:val="24"/>
          <w:szCs w:val="24"/>
        </w:rPr>
        <w:t>in coerenza con le specificità del Piano dell’offerta formativa e della dotazione tecnologica e laboratoriale d’istituto.</w:t>
      </w:r>
    </w:p>
    <w:p w14:paraId="2DA6D9D4" w14:textId="77777777" w:rsidR="00BE5D74" w:rsidRPr="00957F24" w:rsidRDefault="00BE5D74" w:rsidP="008D49E6">
      <w:pPr>
        <w:spacing w:before="0"/>
        <w:ind w:right="424"/>
        <w:rPr>
          <w:rFonts w:asciiTheme="majorHAnsi" w:hAnsiTheme="majorHAnsi"/>
          <w:sz w:val="24"/>
          <w:szCs w:val="24"/>
        </w:rPr>
      </w:pPr>
    </w:p>
    <w:p w14:paraId="079C23C5" w14:textId="21BC25D6" w:rsidR="00BE5D74" w:rsidRPr="00957F24" w:rsidRDefault="005C5332" w:rsidP="00E00F84">
      <w:pPr>
        <w:spacing w:before="0"/>
        <w:ind w:right="424"/>
        <w:rPr>
          <w:rFonts w:asciiTheme="majorHAnsi" w:hAnsiTheme="majorHAnsi"/>
          <w:iCs/>
          <w:strike/>
          <w:sz w:val="24"/>
          <w:szCs w:val="24"/>
        </w:rPr>
      </w:pPr>
      <w:r w:rsidRPr="00957F24">
        <w:rPr>
          <w:rFonts w:asciiTheme="majorHAnsi" w:hAnsiTheme="majorHAnsi"/>
          <w:iCs/>
          <w:sz w:val="24"/>
          <w:szCs w:val="24"/>
        </w:rPr>
        <w:t>La durata della prova può essere compresa tra 6 e 12 ore</w:t>
      </w:r>
      <w:r w:rsidR="00E00F84">
        <w:rPr>
          <w:rFonts w:asciiTheme="majorHAnsi" w:hAnsiTheme="majorHAnsi"/>
          <w:iCs/>
          <w:sz w:val="24"/>
          <w:szCs w:val="24"/>
        </w:rPr>
        <w:t xml:space="preserve"> (fino ad un massimo di 6 ore se solo teorica).</w:t>
      </w:r>
      <w:r w:rsidRPr="00957F24">
        <w:rPr>
          <w:rFonts w:asciiTheme="majorHAnsi" w:hAnsiTheme="majorHAnsi"/>
          <w:iCs/>
          <w:strike/>
          <w:sz w:val="24"/>
          <w:szCs w:val="24"/>
        </w:rPr>
        <w:t xml:space="preserve"> </w:t>
      </w:r>
    </w:p>
    <w:p w14:paraId="00C2005C" w14:textId="77777777" w:rsidR="00957F24" w:rsidRDefault="00957F24" w:rsidP="008D49E6">
      <w:pPr>
        <w:spacing w:before="0"/>
        <w:ind w:right="424"/>
        <w:rPr>
          <w:rFonts w:asciiTheme="majorHAnsi" w:hAnsiTheme="majorHAnsi"/>
          <w:sz w:val="24"/>
          <w:szCs w:val="24"/>
        </w:rPr>
      </w:pPr>
    </w:p>
    <w:p w14:paraId="0C14E15C" w14:textId="5B8E64E8" w:rsidR="00BE5D74" w:rsidRDefault="00957F24" w:rsidP="008D49E6">
      <w:pPr>
        <w:spacing w:before="0"/>
        <w:ind w:right="424"/>
        <w:rPr>
          <w:rFonts w:asciiTheme="majorHAnsi" w:hAnsiTheme="majorHAnsi"/>
          <w:sz w:val="24"/>
          <w:szCs w:val="24"/>
        </w:rPr>
      </w:pPr>
      <w:r w:rsidRPr="00957F24">
        <w:rPr>
          <w:rFonts w:asciiTheme="majorHAnsi" w:hAnsiTheme="majorHAnsi"/>
          <w:sz w:val="24"/>
          <w:szCs w:val="24"/>
        </w:rPr>
        <w:t>Ferma restando l’unicità della prova, ed esclusivamente nel caso in cui la prova stessa preveda anche l’esecuzione in ambito laboratoriale di quanto progettato, la Commissione, tenuto conto delle esigenze organizzative, si può riservare la possibilità di far svolgere la prova in due giorni, il secondo dei quali dedicato esclusivamente alle attività laboratoriali, fornendo ai candidati specifiche consegne all’inizio di ciascuna giornata d’esame. Ciascuna giornata d’esame può avere una durata massima di 6 ore.</w:t>
      </w:r>
    </w:p>
    <w:p w14:paraId="6C2AFF96" w14:textId="489C06B1" w:rsidR="00957F24" w:rsidRDefault="00957F24" w:rsidP="00A521AB">
      <w:pPr>
        <w:spacing w:before="0"/>
        <w:ind w:left="0" w:right="-1"/>
        <w:rPr>
          <w:rFonts w:asciiTheme="majorHAnsi" w:hAnsiTheme="majorHAnsi"/>
          <w:sz w:val="24"/>
          <w:szCs w:val="24"/>
        </w:rPr>
      </w:pPr>
    </w:p>
    <w:p w14:paraId="24B98F0A" w14:textId="0EBA0E1B" w:rsidR="00957F24" w:rsidRDefault="00957F24" w:rsidP="00957F24">
      <w:pPr>
        <w:spacing w:before="0"/>
        <w:ind w:right="-1"/>
        <w:rPr>
          <w:rFonts w:asciiTheme="majorHAnsi" w:hAnsiTheme="majorHAnsi"/>
          <w:sz w:val="24"/>
          <w:szCs w:val="24"/>
        </w:rPr>
      </w:pPr>
    </w:p>
    <w:p w14:paraId="12BBE2D9" w14:textId="77777777" w:rsidR="00E00F84" w:rsidRPr="00957F24" w:rsidRDefault="00E00F84" w:rsidP="00957F24">
      <w:pPr>
        <w:spacing w:before="0"/>
        <w:ind w:right="-1"/>
        <w:rPr>
          <w:rFonts w:asciiTheme="majorHAnsi" w:hAnsiTheme="majorHAnsi"/>
          <w:sz w:val="24"/>
          <w:szCs w:val="24"/>
        </w:rPr>
      </w:pPr>
    </w:p>
    <w:tbl>
      <w:tblPr>
        <w:tblStyle w:val="Grigliatabella"/>
        <w:tblW w:w="8642" w:type="dxa"/>
        <w:tblInd w:w="567" w:type="dxa"/>
        <w:tblLook w:val="04A0" w:firstRow="1" w:lastRow="0" w:firstColumn="1" w:lastColumn="0" w:noHBand="0" w:noVBand="1"/>
      </w:tblPr>
      <w:tblGrid>
        <w:gridCol w:w="8642"/>
      </w:tblGrid>
      <w:tr w:rsidR="00BE5D74" w:rsidRPr="00957F24" w14:paraId="28C911F1" w14:textId="77777777" w:rsidTr="00A521AB">
        <w:trPr>
          <w:cantSplit/>
          <w:trHeight w:val="320"/>
        </w:trPr>
        <w:tc>
          <w:tcPr>
            <w:tcW w:w="8642" w:type="dxa"/>
            <w:shd w:val="pct10" w:color="auto" w:fill="auto"/>
          </w:tcPr>
          <w:p w14:paraId="18164105" w14:textId="77777777" w:rsidR="00BE5D74" w:rsidRPr="00957F24" w:rsidRDefault="005C5332">
            <w:pPr>
              <w:spacing w:before="0"/>
              <w:ind w:left="0" w:right="34"/>
              <w:jc w:val="center"/>
              <w:rPr>
                <w:rFonts w:asciiTheme="majorHAnsi" w:hAnsiTheme="majorHAnsi"/>
                <w:b/>
                <w:sz w:val="24"/>
                <w:szCs w:val="24"/>
              </w:rPr>
            </w:pPr>
            <w:r w:rsidRPr="00957F24">
              <w:rPr>
                <w:rFonts w:asciiTheme="majorHAnsi" w:hAnsiTheme="majorHAnsi"/>
                <w:b/>
                <w:sz w:val="24"/>
                <w:szCs w:val="24"/>
              </w:rPr>
              <w:t>Nuclei tematici fondamentali d’indirizzo correlati alle competenze</w:t>
            </w:r>
          </w:p>
        </w:tc>
      </w:tr>
      <w:tr w:rsidR="00BE5D74" w:rsidRPr="00957F24" w14:paraId="627CEC82" w14:textId="77777777" w:rsidTr="00A521AB">
        <w:trPr>
          <w:cantSplit/>
          <w:trHeight w:val="4630"/>
        </w:trPr>
        <w:tc>
          <w:tcPr>
            <w:tcW w:w="8642" w:type="dxa"/>
          </w:tcPr>
          <w:p w14:paraId="65BBD05A" w14:textId="0203ECE9" w:rsidR="00BE5D74" w:rsidRPr="00A521AB" w:rsidRDefault="005C5332" w:rsidP="00A521AB">
            <w:pPr>
              <w:pStyle w:val="Paragrafoelenco"/>
              <w:numPr>
                <w:ilvl w:val="0"/>
                <w:numId w:val="4"/>
              </w:numPr>
              <w:tabs>
                <w:tab w:val="left" w:pos="338"/>
              </w:tabs>
              <w:spacing w:before="0"/>
              <w:ind w:left="29" w:right="171" w:firstLine="0"/>
              <w:rPr>
                <w:rFonts w:asciiTheme="majorHAnsi" w:hAnsiTheme="majorHAnsi"/>
                <w:sz w:val="24"/>
                <w:szCs w:val="24"/>
              </w:rPr>
            </w:pPr>
            <w:r w:rsidRPr="00A521AB">
              <w:rPr>
                <w:rFonts w:asciiTheme="majorHAnsi" w:eastAsia="Calibri" w:hAnsiTheme="majorHAnsi"/>
                <w:color w:val="00000A"/>
                <w:sz w:val="24"/>
                <w:szCs w:val="24"/>
              </w:rPr>
              <w:t>Ciclo di produzione di ausili ottici in base alle caratteristiche fisiche e stile di vita del cliente nel rispetto della sostenibilità ambientale e della normativa vigente</w:t>
            </w:r>
            <w:r w:rsidR="00A521AB">
              <w:rPr>
                <w:rFonts w:asciiTheme="majorHAnsi" w:eastAsia="Calibri" w:hAnsiTheme="majorHAnsi"/>
                <w:color w:val="00000A"/>
                <w:sz w:val="24"/>
                <w:szCs w:val="24"/>
              </w:rPr>
              <w:t>.</w:t>
            </w:r>
          </w:p>
          <w:p w14:paraId="71350986" w14:textId="6BA4545A" w:rsidR="00BE5D74" w:rsidRPr="00A521AB" w:rsidRDefault="005C5332" w:rsidP="00A521AB">
            <w:pPr>
              <w:pStyle w:val="Paragrafoelenco"/>
              <w:numPr>
                <w:ilvl w:val="0"/>
                <w:numId w:val="4"/>
              </w:numPr>
              <w:tabs>
                <w:tab w:val="left" w:pos="338"/>
              </w:tabs>
              <w:spacing w:before="0"/>
              <w:ind w:left="29" w:right="171" w:firstLine="0"/>
              <w:rPr>
                <w:rFonts w:asciiTheme="majorHAnsi" w:hAnsiTheme="majorHAnsi"/>
                <w:sz w:val="24"/>
                <w:szCs w:val="24"/>
              </w:rPr>
            </w:pPr>
            <w:r w:rsidRPr="00A521AB">
              <w:rPr>
                <w:rFonts w:asciiTheme="majorHAnsi" w:eastAsia="Calibri" w:hAnsiTheme="majorHAnsi"/>
                <w:color w:val="00000A"/>
                <w:sz w:val="24"/>
                <w:szCs w:val="24"/>
              </w:rPr>
              <w:t>Tecniche di rilevazione dei vizi refrattivi e loro correzione</w:t>
            </w:r>
            <w:r w:rsidR="00A521AB">
              <w:rPr>
                <w:rFonts w:asciiTheme="majorHAnsi" w:eastAsia="Calibri" w:hAnsiTheme="majorHAnsi"/>
                <w:color w:val="00000A"/>
                <w:sz w:val="24"/>
                <w:szCs w:val="24"/>
              </w:rPr>
              <w:t>.</w:t>
            </w:r>
          </w:p>
          <w:p w14:paraId="1ABB4B0C" w14:textId="1A44E145" w:rsidR="00BE5D74" w:rsidRPr="00A521AB" w:rsidRDefault="005C5332" w:rsidP="00A521AB">
            <w:pPr>
              <w:pStyle w:val="Paragrafoelenco"/>
              <w:numPr>
                <w:ilvl w:val="0"/>
                <w:numId w:val="4"/>
              </w:numPr>
              <w:tabs>
                <w:tab w:val="left" w:pos="338"/>
              </w:tabs>
              <w:spacing w:before="0"/>
              <w:ind w:left="29" w:right="171" w:firstLine="0"/>
              <w:rPr>
                <w:rFonts w:asciiTheme="majorHAnsi" w:hAnsiTheme="majorHAnsi"/>
                <w:sz w:val="24"/>
                <w:szCs w:val="24"/>
              </w:rPr>
            </w:pPr>
            <w:r w:rsidRPr="00A521AB">
              <w:rPr>
                <w:rFonts w:asciiTheme="majorHAnsi" w:eastAsia="Calibri" w:hAnsiTheme="majorHAnsi"/>
                <w:color w:val="00000A"/>
                <w:sz w:val="24"/>
                <w:szCs w:val="24"/>
              </w:rPr>
              <w:t>Interazione luce - sistema visivo ed utilizzo di soluzioni ottiche per la protezione delle strutture oculari</w:t>
            </w:r>
            <w:r w:rsidR="00A521AB">
              <w:rPr>
                <w:rFonts w:asciiTheme="majorHAnsi" w:eastAsia="Calibri" w:hAnsiTheme="majorHAnsi"/>
                <w:color w:val="00000A"/>
                <w:sz w:val="24"/>
                <w:szCs w:val="24"/>
              </w:rPr>
              <w:t>.</w:t>
            </w:r>
          </w:p>
          <w:p w14:paraId="1E3ADE75" w14:textId="5F82CCEF" w:rsidR="00BE5D74" w:rsidRPr="00A521AB" w:rsidRDefault="005C5332" w:rsidP="00A521AB">
            <w:pPr>
              <w:pStyle w:val="Paragrafoelenco"/>
              <w:numPr>
                <w:ilvl w:val="0"/>
                <w:numId w:val="4"/>
              </w:numPr>
              <w:tabs>
                <w:tab w:val="left" w:pos="338"/>
                <w:tab w:val="left" w:pos="6695"/>
              </w:tabs>
              <w:spacing w:before="0"/>
              <w:ind w:left="29" w:right="171" w:firstLine="0"/>
              <w:rPr>
                <w:rFonts w:asciiTheme="majorHAnsi" w:hAnsiTheme="majorHAnsi"/>
                <w:sz w:val="24"/>
                <w:szCs w:val="24"/>
              </w:rPr>
            </w:pPr>
            <w:r w:rsidRPr="00A521AB">
              <w:rPr>
                <w:rFonts w:asciiTheme="majorHAnsi" w:eastAsia="Calibri" w:hAnsiTheme="majorHAnsi"/>
                <w:color w:val="00000A"/>
                <w:sz w:val="24"/>
                <w:szCs w:val="24"/>
              </w:rPr>
              <w:t>Strumenti ottici e tecniche di analisi dei parametri e delle strutture oculari e trattamento delle patologie</w:t>
            </w:r>
            <w:r w:rsidR="00A521AB">
              <w:rPr>
                <w:rFonts w:asciiTheme="majorHAnsi" w:eastAsia="Calibri" w:hAnsiTheme="majorHAnsi"/>
                <w:color w:val="00000A"/>
                <w:sz w:val="24"/>
                <w:szCs w:val="24"/>
              </w:rPr>
              <w:t>.</w:t>
            </w:r>
          </w:p>
          <w:p w14:paraId="5374F2D6" w14:textId="37FCE7DB" w:rsidR="00BE5D74" w:rsidRPr="00A521AB" w:rsidRDefault="005C5332" w:rsidP="00A521AB">
            <w:pPr>
              <w:pStyle w:val="Paragrafoelenco"/>
              <w:numPr>
                <w:ilvl w:val="0"/>
                <w:numId w:val="4"/>
              </w:numPr>
              <w:tabs>
                <w:tab w:val="left" w:pos="338"/>
                <w:tab w:val="left" w:pos="6695"/>
              </w:tabs>
              <w:spacing w:before="0"/>
              <w:ind w:left="29" w:right="171" w:firstLine="0"/>
              <w:rPr>
                <w:rFonts w:asciiTheme="majorHAnsi" w:hAnsiTheme="majorHAnsi"/>
                <w:sz w:val="24"/>
                <w:szCs w:val="24"/>
              </w:rPr>
            </w:pPr>
            <w:r w:rsidRPr="00A521AB">
              <w:rPr>
                <w:rFonts w:asciiTheme="majorHAnsi" w:hAnsiTheme="majorHAnsi"/>
                <w:sz w:val="24"/>
                <w:szCs w:val="24"/>
              </w:rPr>
              <w:t>Principi di igiene e interventi di prevenzione delle principali condizioni fisiologiche e patologiche afferenti al sistema visivo</w:t>
            </w:r>
            <w:r w:rsidR="00A521AB">
              <w:rPr>
                <w:rFonts w:asciiTheme="majorHAnsi" w:hAnsiTheme="majorHAnsi"/>
                <w:sz w:val="24"/>
                <w:szCs w:val="24"/>
              </w:rPr>
              <w:t>.</w:t>
            </w:r>
          </w:p>
          <w:p w14:paraId="14985B5A" w14:textId="48A747EA" w:rsidR="00BE5D74" w:rsidRPr="00A521AB" w:rsidRDefault="005C5332" w:rsidP="00A521AB">
            <w:pPr>
              <w:pStyle w:val="Paragrafoelenco"/>
              <w:numPr>
                <w:ilvl w:val="0"/>
                <w:numId w:val="4"/>
              </w:numPr>
              <w:tabs>
                <w:tab w:val="left" w:pos="338"/>
                <w:tab w:val="left" w:pos="6695"/>
              </w:tabs>
              <w:spacing w:before="0"/>
              <w:ind w:left="29" w:right="171" w:firstLine="0"/>
              <w:rPr>
                <w:rFonts w:asciiTheme="majorHAnsi" w:hAnsiTheme="majorHAnsi"/>
                <w:sz w:val="24"/>
                <w:szCs w:val="24"/>
              </w:rPr>
            </w:pPr>
            <w:r w:rsidRPr="00A521AB">
              <w:rPr>
                <w:rFonts w:asciiTheme="majorHAnsi" w:hAnsiTheme="majorHAnsi"/>
                <w:sz w:val="24"/>
                <w:szCs w:val="24"/>
              </w:rPr>
              <w:t>Individuazione delle variazioni refrattive e strutturali in relazione all’età e relativi criteri di trattamento e compensazione</w:t>
            </w:r>
            <w:r w:rsidR="00A521AB">
              <w:rPr>
                <w:rFonts w:asciiTheme="majorHAnsi" w:hAnsiTheme="majorHAnsi"/>
                <w:sz w:val="24"/>
                <w:szCs w:val="24"/>
              </w:rPr>
              <w:t>.</w:t>
            </w:r>
          </w:p>
          <w:p w14:paraId="4A5CF409" w14:textId="181F338A" w:rsidR="009F1EC3" w:rsidRDefault="005C5332" w:rsidP="009F1EC3">
            <w:pPr>
              <w:pStyle w:val="Paragrafoelenco"/>
              <w:numPr>
                <w:ilvl w:val="0"/>
                <w:numId w:val="4"/>
              </w:numPr>
              <w:tabs>
                <w:tab w:val="left" w:pos="338"/>
                <w:tab w:val="left" w:pos="6695"/>
              </w:tabs>
              <w:spacing w:before="0"/>
              <w:ind w:left="29" w:right="171" w:firstLine="0"/>
              <w:rPr>
                <w:rFonts w:asciiTheme="majorHAnsi" w:hAnsiTheme="majorHAnsi"/>
                <w:sz w:val="24"/>
                <w:szCs w:val="24"/>
              </w:rPr>
            </w:pPr>
            <w:r w:rsidRPr="00A521AB">
              <w:rPr>
                <w:rFonts w:asciiTheme="majorHAnsi" w:hAnsiTheme="majorHAnsi"/>
                <w:sz w:val="24"/>
                <w:szCs w:val="24"/>
              </w:rPr>
              <w:t>Valutazione dell’equilibrio binoculare normale e perturbato e possibili interventi</w:t>
            </w:r>
            <w:r w:rsidR="009F1EC3">
              <w:rPr>
                <w:rFonts w:asciiTheme="majorHAnsi" w:hAnsiTheme="majorHAnsi"/>
                <w:sz w:val="24"/>
                <w:szCs w:val="24"/>
              </w:rPr>
              <w:t>.</w:t>
            </w:r>
          </w:p>
          <w:p w14:paraId="6C004C53" w14:textId="2ACCEC65" w:rsidR="00BE5D74" w:rsidRPr="009F1EC3" w:rsidRDefault="009F1EC3" w:rsidP="009F1EC3">
            <w:pPr>
              <w:pStyle w:val="Paragrafoelenco"/>
              <w:numPr>
                <w:ilvl w:val="0"/>
                <w:numId w:val="4"/>
              </w:numPr>
              <w:tabs>
                <w:tab w:val="left" w:pos="338"/>
                <w:tab w:val="left" w:pos="6695"/>
              </w:tabs>
              <w:spacing w:before="0"/>
              <w:ind w:left="29" w:right="171" w:firstLine="0"/>
              <w:rPr>
                <w:rFonts w:asciiTheme="majorHAnsi" w:hAnsiTheme="majorHAnsi"/>
              </w:rPr>
            </w:pPr>
            <w:r w:rsidRPr="00A521AB">
              <w:rPr>
                <w:rFonts w:asciiTheme="majorHAnsi" w:hAnsiTheme="majorHAnsi"/>
                <w:sz w:val="24"/>
                <w:szCs w:val="24"/>
              </w:rPr>
              <w:t>Utilizzo e manutenzione di strumenti e ausili ottici in conformità alle norme di sicurezza vigenti nei luoghi di lavoro</w:t>
            </w:r>
            <w:r>
              <w:rPr>
                <w:rFonts w:asciiTheme="majorHAnsi" w:hAnsiTheme="majorHAnsi"/>
                <w:sz w:val="24"/>
                <w:szCs w:val="24"/>
              </w:rPr>
              <w:t>.</w:t>
            </w:r>
          </w:p>
        </w:tc>
      </w:tr>
      <w:tr w:rsidR="00BE5D74" w:rsidRPr="00957F24" w14:paraId="68276388" w14:textId="77777777" w:rsidTr="00A521AB">
        <w:trPr>
          <w:cantSplit/>
        </w:trPr>
        <w:tc>
          <w:tcPr>
            <w:tcW w:w="8642" w:type="dxa"/>
            <w:shd w:val="pct10" w:color="auto" w:fill="auto"/>
            <w:vAlign w:val="center"/>
          </w:tcPr>
          <w:p w14:paraId="6D8A27D7" w14:textId="77777777" w:rsidR="00BE5D74" w:rsidRPr="00957F24" w:rsidRDefault="005C5332">
            <w:pPr>
              <w:pStyle w:val="Paragrafoelenco"/>
              <w:tabs>
                <w:tab w:val="left" w:pos="6695"/>
              </w:tabs>
              <w:ind w:left="106" w:right="-1"/>
              <w:jc w:val="center"/>
              <w:rPr>
                <w:rFonts w:asciiTheme="majorHAnsi" w:hAnsiTheme="majorHAnsi"/>
                <w:sz w:val="24"/>
                <w:szCs w:val="24"/>
              </w:rPr>
            </w:pPr>
            <w:r w:rsidRPr="00957F24">
              <w:rPr>
                <w:rFonts w:asciiTheme="majorHAnsi" w:hAnsiTheme="majorHAnsi"/>
                <w:b/>
                <w:sz w:val="24"/>
                <w:szCs w:val="24"/>
              </w:rPr>
              <w:t>Obiettivi della prova</w:t>
            </w:r>
          </w:p>
        </w:tc>
      </w:tr>
      <w:tr w:rsidR="00BE5D74" w:rsidRPr="00957F24" w14:paraId="2147EC5A" w14:textId="77777777" w:rsidTr="00A521AB">
        <w:trPr>
          <w:cantSplit/>
          <w:trHeight w:val="2704"/>
        </w:trPr>
        <w:tc>
          <w:tcPr>
            <w:tcW w:w="8642" w:type="dxa"/>
          </w:tcPr>
          <w:p w14:paraId="1EDCD651" w14:textId="77777777" w:rsidR="00BE5D74" w:rsidRPr="00A521AB" w:rsidRDefault="005C5332" w:rsidP="00A521AB">
            <w:pPr>
              <w:pStyle w:val="Paragrafoelenco"/>
              <w:widowControl w:val="0"/>
              <w:numPr>
                <w:ilvl w:val="0"/>
                <w:numId w:val="5"/>
              </w:numPr>
              <w:tabs>
                <w:tab w:val="left" w:pos="6695"/>
              </w:tabs>
              <w:spacing w:before="0"/>
              <w:ind w:left="454" w:right="171"/>
              <w:rPr>
                <w:rFonts w:asciiTheme="majorHAnsi" w:eastAsia="Arial" w:hAnsiTheme="majorHAnsi" w:cs="Arial"/>
                <w:color w:val="00000A"/>
                <w:sz w:val="24"/>
                <w:szCs w:val="24"/>
              </w:rPr>
            </w:pPr>
            <w:r w:rsidRPr="00A521AB">
              <w:rPr>
                <w:rFonts w:asciiTheme="majorHAnsi" w:eastAsia="Arial" w:hAnsiTheme="majorHAnsi" w:cs="Arial"/>
                <w:color w:val="00000A"/>
                <w:sz w:val="24"/>
                <w:szCs w:val="24"/>
              </w:rPr>
              <w:t>Individuare strumenti, tecniche e metodi per rilevare e soddisfare i bisogni del cliente</w:t>
            </w:r>
          </w:p>
          <w:p w14:paraId="1916A889" w14:textId="77777777" w:rsidR="00BE5D74" w:rsidRPr="00A521AB" w:rsidRDefault="005C5332" w:rsidP="00A521AB">
            <w:pPr>
              <w:pStyle w:val="Paragrafoelenco"/>
              <w:widowControl w:val="0"/>
              <w:numPr>
                <w:ilvl w:val="0"/>
                <w:numId w:val="5"/>
              </w:numPr>
              <w:tabs>
                <w:tab w:val="left" w:pos="6695"/>
              </w:tabs>
              <w:spacing w:before="0"/>
              <w:ind w:left="454" w:right="171"/>
              <w:rPr>
                <w:rFonts w:asciiTheme="majorHAnsi" w:eastAsia="Arial" w:hAnsiTheme="majorHAnsi" w:cs="Arial"/>
                <w:color w:val="00000A"/>
                <w:sz w:val="24"/>
                <w:szCs w:val="24"/>
              </w:rPr>
            </w:pPr>
            <w:r w:rsidRPr="00A521AB">
              <w:rPr>
                <w:rFonts w:asciiTheme="majorHAnsi" w:eastAsia="Arial" w:hAnsiTheme="majorHAnsi" w:cs="Arial"/>
                <w:color w:val="00000A"/>
                <w:sz w:val="24"/>
                <w:szCs w:val="24"/>
              </w:rPr>
              <w:t>Dimostrare di possedere le necessarie competenze per operare nel settore</w:t>
            </w:r>
          </w:p>
          <w:p w14:paraId="154C51B6" w14:textId="77777777" w:rsidR="00BE5D74" w:rsidRPr="00A521AB" w:rsidRDefault="005C5332" w:rsidP="00A521AB">
            <w:pPr>
              <w:pStyle w:val="Paragrafoelenco"/>
              <w:widowControl w:val="0"/>
              <w:numPr>
                <w:ilvl w:val="0"/>
                <w:numId w:val="5"/>
              </w:numPr>
              <w:tabs>
                <w:tab w:val="left" w:pos="6695"/>
              </w:tabs>
              <w:spacing w:before="0"/>
              <w:ind w:left="454" w:right="171"/>
              <w:rPr>
                <w:rFonts w:asciiTheme="majorHAnsi" w:eastAsia="Arial" w:hAnsiTheme="majorHAnsi" w:cs="Arial"/>
                <w:color w:val="00000A"/>
                <w:sz w:val="24"/>
                <w:szCs w:val="24"/>
              </w:rPr>
            </w:pPr>
            <w:r w:rsidRPr="00A521AB">
              <w:rPr>
                <w:rFonts w:asciiTheme="majorHAnsi" w:eastAsia="Arial" w:hAnsiTheme="majorHAnsi" w:cs="Arial"/>
                <w:color w:val="00000A"/>
                <w:sz w:val="24"/>
                <w:szCs w:val="24"/>
              </w:rPr>
              <w:t>Produrre testi esaustivi e pertinenti alle tracce proposte, utilizzando adeguatamente il linguaggio tecnico specifico in lingua italiana e straniera</w:t>
            </w:r>
          </w:p>
          <w:p w14:paraId="2BE7609A" w14:textId="77777777" w:rsidR="00BE5D74" w:rsidRPr="00A521AB" w:rsidRDefault="005C5332" w:rsidP="00A521AB">
            <w:pPr>
              <w:pStyle w:val="Paragrafoelenco"/>
              <w:widowControl w:val="0"/>
              <w:numPr>
                <w:ilvl w:val="0"/>
                <w:numId w:val="5"/>
              </w:numPr>
              <w:tabs>
                <w:tab w:val="left" w:pos="6695"/>
              </w:tabs>
              <w:spacing w:before="0"/>
              <w:ind w:left="454" w:right="171"/>
              <w:rPr>
                <w:rFonts w:asciiTheme="majorHAnsi" w:hAnsiTheme="majorHAnsi"/>
                <w:sz w:val="24"/>
                <w:szCs w:val="24"/>
              </w:rPr>
            </w:pPr>
            <w:r w:rsidRPr="00A521AB">
              <w:rPr>
                <w:rFonts w:asciiTheme="majorHAnsi" w:eastAsia="Arial" w:hAnsiTheme="majorHAnsi" w:cs="Arial"/>
                <w:color w:val="00000A"/>
                <w:sz w:val="24"/>
                <w:szCs w:val="24"/>
              </w:rPr>
              <w:t>Effettuare collegamenti coerenti tra i vari ambiti di studio con approccio interdisciplinare</w:t>
            </w:r>
          </w:p>
          <w:p w14:paraId="32A93AF7" w14:textId="397907EA" w:rsidR="00BE5D74" w:rsidRPr="00A521AB" w:rsidRDefault="005C5332" w:rsidP="00A521AB">
            <w:pPr>
              <w:pStyle w:val="Paragrafoelenco"/>
              <w:widowControl w:val="0"/>
              <w:numPr>
                <w:ilvl w:val="0"/>
                <w:numId w:val="5"/>
              </w:numPr>
              <w:tabs>
                <w:tab w:val="left" w:pos="6695"/>
              </w:tabs>
              <w:spacing w:before="0"/>
              <w:ind w:left="454" w:right="171"/>
              <w:rPr>
                <w:rFonts w:asciiTheme="majorHAnsi" w:eastAsia="Arial" w:hAnsiTheme="majorHAnsi" w:cs="Arial"/>
                <w:color w:val="00000A"/>
              </w:rPr>
            </w:pPr>
            <w:r w:rsidRPr="00A521AB">
              <w:rPr>
                <w:rFonts w:asciiTheme="majorHAnsi" w:eastAsia="Arial" w:hAnsiTheme="majorHAnsi" w:cs="Arial"/>
                <w:color w:val="00000A"/>
                <w:sz w:val="24"/>
                <w:szCs w:val="24"/>
              </w:rPr>
              <w:t>Agire nel rispetto della normativa vigente, della sostenibilità ambientale e della sicurezza sul lavoro</w:t>
            </w:r>
          </w:p>
        </w:tc>
      </w:tr>
    </w:tbl>
    <w:p w14:paraId="2548A736" w14:textId="77777777" w:rsidR="00BE5D74" w:rsidRPr="00957F24" w:rsidRDefault="00BE5D74" w:rsidP="00A521AB">
      <w:pPr>
        <w:spacing w:before="0"/>
        <w:ind w:left="0" w:right="-1"/>
        <w:rPr>
          <w:rFonts w:asciiTheme="majorHAnsi" w:hAnsiTheme="majorHAnsi"/>
          <w:i/>
          <w:sz w:val="24"/>
          <w:szCs w:val="24"/>
        </w:rPr>
      </w:pPr>
    </w:p>
    <w:p w14:paraId="6F4380BB" w14:textId="77777777" w:rsidR="00BE5D74" w:rsidRPr="00957F24" w:rsidRDefault="005C5332" w:rsidP="00A521AB">
      <w:pPr>
        <w:spacing w:before="0"/>
        <w:ind w:right="424"/>
        <w:jc w:val="center"/>
        <w:rPr>
          <w:rFonts w:asciiTheme="majorHAnsi" w:hAnsiTheme="majorHAnsi"/>
          <w:b/>
          <w:sz w:val="24"/>
          <w:szCs w:val="24"/>
        </w:rPr>
      </w:pPr>
      <w:r w:rsidRPr="00957F24">
        <w:rPr>
          <w:rFonts w:asciiTheme="majorHAnsi" w:hAnsiTheme="majorHAnsi"/>
          <w:b/>
          <w:sz w:val="24"/>
          <w:szCs w:val="24"/>
        </w:rPr>
        <w:t>Griglia di valutazione per l’attribuzione dei punteggi</w:t>
      </w:r>
    </w:p>
    <w:p w14:paraId="0BAE7608" w14:textId="77777777" w:rsidR="00BE5D74" w:rsidRPr="00957F24" w:rsidRDefault="00BE5D74">
      <w:pPr>
        <w:pStyle w:val="Contenutotabella"/>
        <w:spacing w:before="0" w:line="288" w:lineRule="auto"/>
        <w:jc w:val="center"/>
        <w:rPr>
          <w:rFonts w:asciiTheme="majorHAnsi" w:hAnsiTheme="majorHAnsi"/>
          <w:b/>
          <w:color w:val="000000"/>
          <w:sz w:val="24"/>
          <w:szCs w:val="24"/>
        </w:rPr>
      </w:pPr>
    </w:p>
    <w:tbl>
      <w:tblPr>
        <w:tblStyle w:val="Grigliatabella"/>
        <w:tblW w:w="8642" w:type="dxa"/>
        <w:tblInd w:w="567" w:type="dxa"/>
        <w:tblLook w:val="04A0" w:firstRow="1" w:lastRow="0" w:firstColumn="1" w:lastColumn="0" w:noHBand="0" w:noVBand="1"/>
      </w:tblPr>
      <w:tblGrid>
        <w:gridCol w:w="6941"/>
        <w:gridCol w:w="1701"/>
      </w:tblGrid>
      <w:tr w:rsidR="00BE5D74" w:rsidRPr="00957F24" w14:paraId="5722D6B0" w14:textId="77777777" w:rsidTr="00A521AB">
        <w:tc>
          <w:tcPr>
            <w:tcW w:w="6941" w:type="dxa"/>
            <w:shd w:val="pct10" w:color="auto" w:fill="auto"/>
          </w:tcPr>
          <w:p w14:paraId="3EF2BA31" w14:textId="77777777" w:rsidR="00BE5D74" w:rsidRPr="00957F24" w:rsidRDefault="005C5332">
            <w:pPr>
              <w:spacing w:before="0"/>
              <w:ind w:left="0" w:right="-1"/>
              <w:jc w:val="center"/>
              <w:rPr>
                <w:rFonts w:asciiTheme="majorHAnsi" w:hAnsiTheme="majorHAnsi"/>
                <w:b/>
                <w:sz w:val="24"/>
                <w:szCs w:val="24"/>
              </w:rPr>
            </w:pPr>
            <w:r w:rsidRPr="00957F24">
              <w:rPr>
                <w:rFonts w:asciiTheme="majorHAnsi" w:hAnsiTheme="majorHAnsi"/>
                <w:b/>
                <w:sz w:val="24"/>
                <w:szCs w:val="24"/>
              </w:rPr>
              <w:t xml:space="preserve">Indicatore </w:t>
            </w:r>
            <w:r w:rsidRPr="00957F24">
              <w:rPr>
                <w:rFonts w:asciiTheme="majorHAnsi" w:hAnsiTheme="majorHAnsi"/>
                <w:i/>
                <w:sz w:val="24"/>
                <w:szCs w:val="24"/>
              </w:rPr>
              <w:t>(correlato agli obiettivi della prova)</w:t>
            </w:r>
          </w:p>
        </w:tc>
        <w:tc>
          <w:tcPr>
            <w:tcW w:w="1701" w:type="dxa"/>
            <w:shd w:val="pct10" w:color="auto" w:fill="auto"/>
          </w:tcPr>
          <w:p w14:paraId="00DDC6DE" w14:textId="75D384E0" w:rsidR="00BE5D74" w:rsidRPr="00A521AB" w:rsidRDefault="005C5332" w:rsidP="00A521AB">
            <w:pPr>
              <w:pStyle w:val="Contenutotabella"/>
              <w:spacing w:before="0"/>
              <w:ind w:left="0" w:right="0"/>
              <w:jc w:val="center"/>
              <w:rPr>
                <w:rFonts w:asciiTheme="majorHAnsi" w:hAnsiTheme="majorHAnsi"/>
                <w:b/>
                <w:sz w:val="24"/>
                <w:szCs w:val="24"/>
              </w:rPr>
            </w:pPr>
            <w:r w:rsidRPr="00A521AB">
              <w:rPr>
                <w:rFonts w:asciiTheme="majorHAnsi" w:hAnsiTheme="majorHAnsi"/>
                <w:b/>
                <w:color w:val="000000"/>
                <w:sz w:val="24"/>
                <w:szCs w:val="24"/>
              </w:rPr>
              <w:t>Punteggio</w:t>
            </w:r>
            <w:r w:rsidR="00A521AB" w:rsidRPr="00A521AB">
              <w:rPr>
                <w:rFonts w:asciiTheme="majorHAnsi" w:hAnsiTheme="majorHAnsi"/>
                <w:b/>
                <w:color w:val="000000"/>
                <w:sz w:val="24"/>
                <w:szCs w:val="24"/>
              </w:rPr>
              <w:t xml:space="preserve"> massimo</w:t>
            </w:r>
          </w:p>
        </w:tc>
      </w:tr>
      <w:tr w:rsidR="00BE5D74" w:rsidRPr="00957F24" w14:paraId="5453FCAB" w14:textId="77777777" w:rsidTr="00A521AB">
        <w:tc>
          <w:tcPr>
            <w:tcW w:w="6941" w:type="dxa"/>
          </w:tcPr>
          <w:p w14:paraId="6E9305F0" w14:textId="19FF1B50" w:rsidR="00BE5D74" w:rsidRPr="00A521AB" w:rsidRDefault="005C5332" w:rsidP="00A521AB">
            <w:pPr>
              <w:widowControl w:val="0"/>
              <w:tabs>
                <w:tab w:val="left" w:pos="6695"/>
              </w:tabs>
              <w:spacing w:before="0"/>
              <w:ind w:left="0" w:right="-1"/>
              <w:rPr>
                <w:rFonts w:asciiTheme="majorHAnsi" w:hAnsiTheme="majorHAnsi"/>
                <w:sz w:val="24"/>
                <w:szCs w:val="24"/>
              </w:rPr>
            </w:pPr>
            <w:r w:rsidRPr="00A521AB">
              <w:rPr>
                <w:rFonts w:asciiTheme="majorHAnsi" w:hAnsiTheme="majorHAnsi"/>
                <w:sz w:val="24"/>
                <w:szCs w:val="24"/>
              </w:rPr>
              <w:t>Completezza nello svolgimento della prova, coerenza e correttezza nell’elaborazione</w:t>
            </w:r>
          </w:p>
        </w:tc>
        <w:tc>
          <w:tcPr>
            <w:tcW w:w="1701" w:type="dxa"/>
          </w:tcPr>
          <w:p w14:paraId="1957B1FD" w14:textId="77777777" w:rsidR="00BE5D74" w:rsidRPr="00A521AB" w:rsidRDefault="005C5332" w:rsidP="00A521AB">
            <w:pPr>
              <w:spacing w:before="0"/>
              <w:ind w:left="0" w:right="-1"/>
              <w:jc w:val="center"/>
              <w:rPr>
                <w:rFonts w:asciiTheme="majorHAnsi" w:hAnsiTheme="majorHAnsi"/>
                <w:sz w:val="24"/>
                <w:szCs w:val="24"/>
              </w:rPr>
            </w:pPr>
            <w:r w:rsidRPr="00A521AB">
              <w:rPr>
                <w:rFonts w:asciiTheme="majorHAnsi" w:hAnsiTheme="majorHAnsi"/>
                <w:sz w:val="24"/>
                <w:szCs w:val="24"/>
              </w:rPr>
              <w:t>4</w:t>
            </w:r>
          </w:p>
        </w:tc>
      </w:tr>
      <w:tr w:rsidR="00BE5D74" w:rsidRPr="00957F24" w14:paraId="03439903" w14:textId="77777777" w:rsidTr="00A521AB">
        <w:tc>
          <w:tcPr>
            <w:tcW w:w="6941" w:type="dxa"/>
            <w:tcBorders>
              <w:top w:val="nil"/>
            </w:tcBorders>
          </w:tcPr>
          <w:p w14:paraId="35110A15" w14:textId="77777777" w:rsidR="00BE5D74" w:rsidRPr="00A521AB" w:rsidRDefault="005C5332" w:rsidP="00A521AB">
            <w:pPr>
              <w:widowControl w:val="0"/>
              <w:tabs>
                <w:tab w:val="left" w:pos="6695"/>
              </w:tabs>
              <w:spacing w:before="0"/>
              <w:ind w:left="0" w:right="-1"/>
              <w:rPr>
                <w:rFonts w:asciiTheme="majorHAnsi" w:hAnsiTheme="majorHAnsi"/>
                <w:sz w:val="24"/>
                <w:szCs w:val="24"/>
              </w:rPr>
            </w:pPr>
            <w:r w:rsidRPr="00A521AB">
              <w:rPr>
                <w:rFonts w:asciiTheme="majorHAnsi" w:eastAsia="Arial" w:hAnsiTheme="majorHAnsi" w:cs="Arial"/>
                <w:color w:val="00000A"/>
                <w:sz w:val="24"/>
                <w:szCs w:val="24"/>
              </w:rPr>
              <w:t>Utilizzo del linguaggio tecnico specifico in lingua italiana e straniera</w:t>
            </w:r>
          </w:p>
        </w:tc>
        <w:tc>
          <w:tcPr>
            <w:tcW w:w="1701" w:type="dxa"/>
            <w:tcBorders>
              <w:top w:val="nil"/>
            </w:tcBorders>
          </w:tcPr>
          <w:p w14:paraId="69BC98ED" w14:textId="77777777" w:rsidR="00BE5D74" w:rsidRPr="00A521AB" w:rsidRDefault="005C5332" w:rsidP="00A521AB">
            <w:pPr>
              <w:spacing w:before="0"/>
              <w:ind w:left="0" w:right="-1"/>
              <w:jc w:val="center"/>
              <w:rPr>
                <w:rFonts w:asciiTheme="majorHAnsi" w:hAnsiTheme="majorHAnsi"/>
                <w:sz w:val="24"/>
                <w:szCs w:val="24"/>
              </w:rPr>
            </w:pPr>
            <w:r w:rsidRPr="00A521AB">
              <w:rPr>
                <w:rFonts w:asciiTheme="majorHAnsi" w:hAnsiTheme="majorHAnsi"/>
                <w:sz w:val="24"/>
                <w:szCs w:val="24"/>
              </w:rPr>
              <w:t>4</w:t>
            </w:r>
          </w:p>
        </w:tc>
      </w:tr>
      <w:tr w:rsidR="00BE5D74" w:rsidRPr="00957F24" w14:paraId="0FAB989B" w14:textId="77777777" w:rsidTr="00A521AB">
        <w:tc>
          <w:tcPr>
            <w:tcW w:w="6941" w:type="dxa"/>
          </w:tcPr>
          <w:p w14:paraId="5351C48E" w14:textId="77777777" w:rsidR="00BE5D74" w:rsidRPr="00A521AB" w:rsidRDefault="005C5332" w:rsidP="00A521AB">
            <w:pPr>
              <w:spacing w:before="0"/>
              <w:ind w:left="0" w:right="-1"/>
              <w:jc w:val="left"/>
              <w:rPr>
                <w:rFonts w:asciiTheme="majorHAnsi" w:hAnsiTheme="majorHAnsi"/>
                <w:sz w:val="24"/>
                <w:szCs w:val="24"/>
              </w:rPr>
            </w:pPr>
            <w:r w:rsidRPr="00A521AB">
              <w:rPr>
                <w:rFonts w:asciiTheme="majorHAnsi" w:hAnsiTheme="majorHAnsi"/>
                <w:sz w:val="24"/>
                <w:szCs w:val="24"/>
              </w:rPr>
              <w:t>Capacità di analisi, collegamento e sintesi delle informazioni</w:t>
            </w:r>
          </w:p>
        </w:tc>
        <w:tc>
          <w:tcPr>
            <w:tcW w:w="1701" w:type="dxa"/>
          </w:tcPr>
          <w:p w14:paraId="02EE6BD6" w14:textId="77777777" w:rsidR="00BE5D74" w:rsidRPr="00A521AB" w:rsidRDefault="005C5332" w:rsidP="00A521AB">
            <w:pPr>
              <w:spacing w:before="0"/>
              <w:ind w:left="0" w:right="-1"/>
              <w:jc w:val="center"/>
              <w:rPr>
                <w:rFonts w:asciiTheme="majorHAnsi" w:hAnsiTheme="majorHAnsi"/>
                <w:sz w:val="24"/>
                <w:szCs w:val="24"/>
              </w:rPr>
            </w:pPr>
            <w:r w:rsidRPr="00A521AB">
              <w:rPr>
                <w:rFonts w:asciiTheme="majorHAnsi" w:hAnsiTheme="majorHAnsi"/>
                <w:sz w:val="24"/>
                <w:szCs w:val="24"/>
              </w:rPr>
              <w:t>4</w:t>
            </w:r>
          </w:p>
        </w:tc>
      </w:tr>
      <w:tr w:rsidR="00BE5D74" w:rsidRPr="00957F24" w14:paraId="3B391990" w14:textId="77777777" w:rsidTr="00A521AB">
        <w:tc>
          <w:tcPr>
            <w:tcW w:w="6941" w:type="dxa"/>
          </w:tcPr>
          <w:p w14:paraId="450A3E10" w14:textId="77777777" w:rsidR="00BE5D74" w:rsidRPr="00A521AB" w:rsidRDefault="005C5332" w:rsidP="00A521AB">
            <w:pPr>
              <w:spacing w:before="0"/>
              <w:ind w:left="0" w:right="-1"/>
              <w:jc w:val="left"/>
              <w:rPr>
                <w:rFonts w:asciiTheme="majorHAnsi" w:hAnsiTheme="majorHAnsi"/>
                <w:sz w:val="24"/>
                <w:szCs w:val="24"/>
              </w:rPr>
            </w:pPr>
            <w:r w:rsidRPr="00A521AB">
              <w:rPr>
                <w:rFonts w:asciiTheme="majorHAnsi" w:hAnsiTheme="majorHAnsi"/>
                <w:sz w:val="24"/>
                <w:szCs w:val="24"/>
              </w:rPr>
              <w:t xml:space="preserve">Padronanza delle competenze relative ai nuclei tematici fondamentali di riferimento della prova </w:t>
            </w:r>
          </w:p>
        </w:tc>
        <w:tc>
          <w:tcPr>
            <w:tcW w:w="1701" w:type="dxa"/>
          </w:tcPr>
          <w:p w14:paraId="34FBCECB" w14:textId="77777777" w:rsidR="00BE5D74" w:rsidRPr="00A521AB" w:rsidRDefault="005C5332" w:rsidP="00A521AB">
            <w:pPr>
              <w:spacing w:before="0"/>
              <w:ind w:left="0" w:right="-1"/>
              <w:jc w:val="center"/>
              <w:rPr>
                <w:rFonts w:asciiTheme="majorHAnsi" w:hAnsiTheme="majorHAnsi"/>
                <w:sz w:val="24"/>
                <w:szCs w:val="24"/>
              </w:rPr>
            </w:pPr>
            <w:r w:rsidRPr="00A521AB">
              <w:rPr>
                <w:rFonts w:asciiTheme="majorHAnsi" w:hAnsiTheme="majorHAnsi"/>
                <w:sz w:val="24"/>
                <w:szCs w:val="24"/>
              </w:rPr>
              <w:t>8</w:t>
            </w:r>
          </w:p>
        </w:tc>
      </w:tr>
    </w:tbl>
    <w:p w14:paraId="30661761" w14:textId="77777777" w:rsidR="00A521AB" w:rsidRDefault="00A521AB" w:rsidP="00A521AB">
      <w:pPr>
        <w:spacing w:before="0"/>
        <w:ind w:right="424"/>
        <w:rPr>
          <w:rFonts w:asciiTheme="majorHAnsi" w:hAnsiTheme="majorHAnsi"/>
          <w:sz w:val="24"/>
          <w:szCs w:val="24"/>
        </w:rPr>
      </w:pPr>
    </w:p>
    <w:p w14:paraId="6085C899" w14:textId="45AD9CD3" w:rsidR="00BE5D74" w:rsidRPr="00957F24" w:rsidRDefault="005C5332" w:rsidP="00A521AB">
      <w:pPr>
        <w:spacing w:before="0"/>
        <w:ind w:right="424"/>
        <w:rPr>
          <w:rFonts w:asciiTheme="majorHAnsi" w:hAnsiTheme="majorHAnsi"/>
        </w:rPr>
      </w:pPr>
      <w:r w:rsidRPr="00957F24">
        <w:rPr>
          <w:rFonts w:asciiTheme="majorHAnsi" w:hAnsiTheme="majorHAnsi"/>
          <w:sz w:val="24"/>
          <w:szCs w:val="24"/>
        </w:rPr>
        <w:t xml:space="preserve">La commissione </w:t>
      </w:r>
      <w:r w:rsidRPr="00957F24">
        <w:rPr>
          <w:rFonts w:asciiTheme="majorHAnsi" w:eastAsia="Calibri" w:hAnsiTheme="majorHAnsi"/>
          <w:sz w:val="24"/>
          <w:szCs w:val="24"/>
        </w:rPr>
        <w:t xml:space="preserve">integrerà </w:t>
      </w:r>
      <w:r w:rsidRPr="00957F24">
        <w:rPr>
          <w:rFonts w:asciiTheme="majorHAnsi" w:hAnsiTheme="majorHAnsi"/>
          <w:sz w:val="24"/>
          <w:szCs w:val="24"/>
        </w:rPr>
        <w:t>gli indicatori con la relativa declinazione dei descrittori</w:t>
      </w:r>
      <w:r w:rsidR="00A521AB">
        <w:rPr>
          <w:rFonts w:asciiTheme="majorHAnsi" w:hAnsiTheme="majorHAnsi"/>
          <w:sz w:val="24"/>
          <w:szCs w:val="24"/>
        </w:rPr>
        <w:t>.</w:t>
      </w:r>
    </w:p>
    <w:p w14:paraId="076D800F" w14:textId="77777777" w:rsidR="00BE5D74" w:rsidRPr="00957F24" w:rsidRDefault="00BE5D74">
      <w:pPr>
        <w:ind w:right="-1"/>
        <w:rPr>
          <w:rFonts w:asciiTheme="majorHAnsi" w:eastAsia="Calibri" w:hAnsiTheme="majorHAnsi"/>
          <w:sz w:val="24"/>
          <w:szCs w:val="24"/>
        </w:rPr>
      </w:pPr>
    </w:p>
    <w:sectPr w:rsidR="00BE5D74" w:rsidRPr="00957F24">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062FF"/>
    <w:multiLevelType w:val="multilevel"/>
    <w:tmpl w:val="397CC3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AF0771"/>
    <w:multiLevelType w:val="hybridMultilevel"/>
    <w:tmpl w:val="3EF242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2667E4F"/>
    <w:multiLevelType w:val="multilevel"/>
    <w:tmpl w:val="E9F4F2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186CAB"/>
    <w:multiLevelType w:val="multilevel"/>
    <w:tmpl w:val="3230E8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19911C5"/>
    <w:multiLevelType w:val="hybridMultilevel"/>
    <w:tmpl w:val="EE863562"/>
    <w:lvl w:ilvl="0" w:tplc="04100001">
      <w:start w:val="1"/>
      <w:numFmt w:val="bullet"/>
      <w:lvlText w:val=""/>
      <w:lvlJc w:val="left"/>
      <w:pPr>
        <w:ind w:left="749" w:hanging="360"/>
      </w:pPr>
      <w:rPr>
        <w:rFonts w:ascii="Symbol" w:hAnsi="Symbol" w:hint="default"/>
      </w:rPr>
    </w:lvl>
    <w:lvl w:ilvl="1" w:tplc="04100003" w:tentative="1">
      <w:start w:val="1"/>
      <w:numFmt w:val="bullet"/>
      <w:lvlText w:val="o"/>
      <w:lvlJc w:val="left"/>
      <w:pPr>
        <w:ind w:left="1469" w:hanging="360"/>
      </w:pPr>
      <w:rPr>
        <w:rFonts w:ascii="Courier New" w:hAnsi="Courier New" w:cs="Courier New" w:hint="default"/>
      </w:rPr>
    </w:lvl>
    <w:lvl w:ilvl="2" w:tplc="04100005" w:tentative="1">
      <w:start w:val="1"/>
      <w:numFmt w:val="bullet"/>
      <w:lvlText w:val=""/>
      <w:lvlJc w:val="left"/>
      <w:pPr>
        <w:ind w:left="2189" w:hanging="360"/>
      </w:pPr>
      <w:rPr>
        <w:rFonts w:ascii="Wingdings" w:hAnsi="Wingdings" w:hint="default"/>
      </w:rPr>
    </w:lvl>
    <w:lvl w:ilvl="3" w:tplc="04100001" w:tentative="1">
      <w:start w:val="1"/>
      <w:numFmt w:val="bullet"/>
      <w:lvlText w:val=""/>
      <w:lvlJc w:val="left"/>
      <w:pPr>
        <w:ind w:left="2909" w:hanging="360"/>
      </w:pPr>
      <w:rPr>
        <w:rFonts w:ascii="Symbol" w:hAnsi="Symbol" w:hint="default"/>
      </w:rPr>
    </w:lvl>
    <w:lvl w:ilvl="4" w:tplc="04100003" w:tentative="1">
      <w:start w:val="1"/>
      <w:numFmt w:val="bullet"/>
      <w:lvlText w:val="o"/>
      <w:lvlJc w:val="left"/>
      <w:pPr>
        <w:ind w:left="3629" w:hanging="360"/>
      </w:pPr>
      <w:rPr>
        <w:rFonts w:ascii="Courier New" w:hAnsi="Courier New" w:cs="Courier New" w:hint="default"/>
      </w:rPr>
    </w:lvl>
    <w:lvl w:ilvl="5" w:tplc="04100005" w:tentative="1">
      <w:start w:val="1"/>
      <w:numFmt w:val="bullet"/>
      <w:lvlText w:val=""/>
      <w:lvlJc w:val="left"/>
      <w:pPr>
        <w:ind w:left="4349" w:hanging="360"/>
      </w:pPr>
      <w:rPr>
        <w:rFonts w:ascii="Wingdings" w:hAnsi="Wingdings" w:hint="default"/>
      </w:rPr>
    </w:lvl>
    <w:lvl w:ilvl="6" w:tplc="04100001" w:tentative="1">
      <w:start w:val="1"/>
      <w:numFmt w:val="bullet"/>
      <w:lvlText w:val=""/>
      <w:lvlJc w:val="left"/>
      <w:pPr>
        <w:ind w:left="5069" w:hanging="360"/>
      </w:pPr>
      <w:rPr>
        <w:rFonts w:ascii="Symbol" w:hAnsi="Symbol" w:hint="default"/>
      </w:rPr>
    </w:lvl>
    <w:lvl w:ilvl="7" w:tplc="04100003" w:tentative="1">
      <w:start w:val="1"/>
      <w:numFmt w:val="bullet"/>
      <w:lvlText w:val="o"/>
      <w:lvlJc w:val="left"/>
      <w:pPr>
        <w:ind w:left="5789" w:hanging="360"/>
      </w:pPr>
      <w:rPr>
        <w:rFonts w:ascii="Courier New" w:hAnsi="Courier New" w:cs="Courier New" w:hint="default"/>
      </w:rPr>
    </w:lvl>
    <w:lvl w:ilvl="8" w:tplc="04100005" w:tentative="1">
      <w:start w:val="1"/>
      <w:numFmt w:val="bullet"/>
      <w:lvlText w:val=""/>
      <w:lvlJc w:val="left"/>
      <w:pPr>
        <w:ind w:left="6509"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D74"/>
    <w:rsid w:val="005C5332"/>
    <w:rsid w:val="006D2124"/>
    <w:rsid w:val="008D49E6"/>
    <w:rsid w:val="00957F24"/>
    <w:rsid w:val="009F1EC3"/>
    <w:rsid w:val="00A521AB"/>
    <w:rsid w:val="00BE5D74"/>
    <w:rsid w:val="00E00F84"/>
    <w:rsid w:val="00E8206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79866"/>
  <w15:docId w15:val="{6471DB65-928A-4CAD-8207-CE47258F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719D"/>
    <w:pPr>
      <w:spacing w:before="120"/>
      <w:ind w:left="567" w:right="849"/>
      <w:jc w:val="both"/>
    </w:pPr>
    <w:rPr>
      <w:sz w:val="22"/>
    </w:rPr>
  </w:style>
  <w:style w:type="paragraph" w:styleId="Titolo1">
    <w:name w:val="heading 1"/>
    <w:basedOn w:val="Titolo"/>
    <w:next w:val="Corpotesto"/>
    <w:qFormat/>
    <w:pPr>
      <w:outlineLvl w:val="0"/>
    </w:pPr>
    <w:rPr>
      <w:rFonts w:ascii="Liberation Serif" w:eastAsia="DejaVu Sans" w:hAnsi="Liberation Serif" w:cs="DejaVu Sans"/>
      <w:b/>
      <w:bCs/>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3A357F"/>
    <w:rPr>
      <w:rFonts w:ascii="Segoe UI" w:hAnsi="Segoe UI" w:cs="Segoe UI"/>
      <w:sz w:val="18"/>
      <w:szCs w:val="18"/>
    </w:rPr>
  </w:style>
  <w:style w:type="paragraph" w:styleId="Titolo">
    <w:name w:val="Title"/>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before="0" w:after="140" w:line="276" w:lineRule="auto"/>
    </w:pPr>
  </w:style>
  <w:style w:type="paragraph" w:styleId="Elenco">
    <w:name w:val="List"/>
    <w:basedOn w:val="Corpotesto"/>
    <w:rPr>
      <w:rFonts w:cs="Lohit Devanagari"/>
    </w:rPr>
  </w:style>
  <w:style w:type="paragraph" w:styleId="Didascalia">
    <w:name w:val="caption"/>
    <w:basedOn w:val="Normale"/>
    <w:qFormat/>
    <w:pPr>
      <w:suppressLineNumbers/>
      <w:spacing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styleId="Paragrafoelenco">
    <w:name w:val="List Paragraph"/>
    <w:basedOn w:val="Normale"/>
    <w:uiPriority w:val="34"/>
    <w:qFormat/>
    <w:rsid w:val="00760466"/>
    <w:pPr>
      <w:ind w:left="720"/>
      <w:contextualSpacing/>
    </w:pPr>
  </w:style>
  <w:style w:type="paragraph" w:styleId="Testofumetto">
    <w:name w:val="Balloon Text"/>
    <w:basedOn w:val="Normale"/>
    <w:link w:val="TestofumettoCarattere"/>
    <w:uiPriority w:val="99"/>
    <w:semiHidden/>
    <w:unhideWhenUsed/>
    <w:qFormat/>
    <w:rsid w:val="003A357F"/>
    <w:pPr>
      <w:spacing w:before="0"/>
    </w:pPr>
    <w:rPr>
      <w:rFonts w:ascii="Segoe UI" w:hAnsi="Segoe UI" w:cs="Segoe UI"/>
      <w:sz w:val="18"/>
      <w:szCs w:val="18"/>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table" w:customStyle="1" w:styleId="StileFla">
    <w:name w:val="StileFla"/>
    <w:basedOn w:val="Tabellanormale"/>
    <w:uiPriority w:val="99"/>
    <w:rsid w:val="005F304E"/>
    <w:tblPr/>
  </w:style>
  <w:style w:type="table" w:styleId="Grigliatabella">
    <w:name w:val="Table Grid"/>
    <w:basedOn w:val="Tabellanormale"/>
    <w:uiPriority w:val="59"/>
    <w:rsid w:val="00760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MIUR</dc:creator>
  <dc:description/>
  <cp:lastModifiedBy>Giorda Flaminia</cp:lastModifiedBy>
  <cp:revision>9</cp:revision>
  <dcterms:created xsi:type="dcterms:W3CDTF">2022-03-16T11:30:00Z</dcterms:created>
  <dcterms:modified xsi:type="dcterms:W3CDTF">2022-03-16T16:07:00Z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